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A027DE" w14:textId="77777777" w:rsidR="00AD227C" w:rsidRDefault="00000000">
      <w:pPr>
        <w:spacing w:after="60"/>
      </w:pPr>
      <w:r>
        <w:rPr>
          <w:b/>
          <w:bCs/>
          <w:sz w:val="40"/>
          <w:szCs w:val="40"/>
        </w:rPr>
        <w:t>Muster-Ausschreibung</w:t>
      </w:r>
    </w:p>
    <w:p w14:paraId="39265314" w14:textId="77777777" w:rsidR="00AD227C" w:rsidRDefault="00000000">
      <w:pPr>
        <w:spacing w:after="40"/>
      </w:pPr>
      <w:r>
        <w:rPr>
          <w:color w:val="444444"/>
          <w:sz w:val="28"/>
          <w:szCs w:val="28"/>
        </w:rPr>
        <w:t>Unabhängige fachliche Begleitung eines Website-Relaunches</w:t>
      </w:r>
    </w:p>
    <w:p w14:paraId="0E4E0188" w14:textId="77777777" w:rsidR="00AD227C" w:rsidRDefault="00000000">
      <w:pPr>
        <w:pBdr>
          <w:bottom w:val="single" w:sz="12" w:space="2" w:color="B01019"/>
        </w:pBdr>
        <w:spacing w:after="200"/>
      </w:pPr>
      <w:r>
        <w:rPr>
          <w:i/>
          <w:iCs/>
          <w:color w:val="666666"/>
          <w:sz w:val="20"/>
          <w:szCs w:val="20"/>
        </w:rPr>
        <w:t>Von der Ausschreibung bis zur Migration – Orientierungsvorlage für Hochschulen und öffentliche Auftraggeber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D227C" w14:paraId="3099B918" w14:textId="77777777">
        <w:tc>
          <w:tcPr>
            <w:tcW w:w="9360" w:type="dxa"/>
            <w:tcBorders>
              <w:top w:val="single" w:sz="2" w:space="0" w:color="CCCCCC"/>
              <w:left w:val="single" w:sz="12" w:space="0" w:color="B01019"/>
              <w:bottom w:val="single" w:sz="2" w:space="0" w:color="CCCCCC"/>
              <w:right w:val="single" w:sz="2" w:space="0" w:color="CCCCCC"/>
            </w:tcBorders>
            <w:shd w:val="clear" w:color="auto" w:fill="F2F2F2"/>
            <w:tcMar>
              <w:top w:w="120" w:type="dxa"/>
              <w:left w:w="160" w:type="dxa"/>
              <w:bottom w:w="120" w:type="dxa"/>
              <w:right w:w="160" w:type="dxa"/>
            </w:tcMar>
          </w:tcPr>
          <w:p w14:paraId="619D7B06" w14:textId="77777777" w:rsidR="00AD227C" w:rsidRDefault="00000000">
            <w:pPr>
              <w:spacing w:after="60"/>
            </w:pPr>
            <w:r>
              <w:rPr>
                <w:b/>
                <w:bCs/>
                <w:color w:val="B01019"/>
                <w:sz w:val="18"/>
                <w:szCs w:val="18"/>
              </w:rPr>
              <w:t>Was diese Vorlage ist – und was nicht</w:t>
            </w:r>
          </w:p>
          <w:p w14:paraId="71856CFE" w14:textId="77777777" w:rsidR="00AD227C" w:rsidRDefault="00000000">
            <w:pPr>
              <w:spacing w:after="60"/>
            </w:pPr>
            <w:r>
              <w:rPr>
                <w:i/>
                <w:iCs/>
                <w:sz w:val="20"/>
                <w:szCs w:val="20"/>
              </w:rPr>
              <w:t>Diese Vorlage hilft Ihnen, die Beschaffung einer fachlichen Relaunch-Begleitung sauber aufzusetzen. Sie ist eine allgemeine Orientierungshilfe, kein auf Ihr Verfahren zugeschnittenes Dokument und keine Rechtsberatung.</w:t>
            </w:r>
          </w:p>
          <w:p w14:paraId="26B347FB" w14:textId="77777777" w:rsidR="00AD227C" w:rsidRDefault="00000000">
            <w:pPr>
              <w:spacing w:after="60"/>
            </w:pPr>
            <w:r>
              <w:rPr>
                <w:i/>
                <w:iCs/>
                <w:sz w:val="20"/>
                <w:szCs w:val="20"/>
              </w:rPr>
              <w:t>Passen Sie Text in eckigen Klammern an. Lassen Sie die fertige Vergabeunterlage vor Veröffentlichung durch Ihre Vergabestelle bzw. Ihr Justiziariat prüfen – die vergaberechtliche Verantwortung bleibt bei Ihnen.</w:t>
            </w:r>
          </w:p>
          <w:p w14:paraId="46DD3DD4" w14:textId="77777777" w:rsidR="00AD227C" w:rsidRDefault="00000000">
            <w:pPr>
              <w:spacing w:after="60"/>
            </w:pPr>
            <w:r>
              <w:rPr>
                <w:i/>
                <w:iCs/>
                <w:sz w:val="20"/>
                <w:szCs w:val="20"/>
              </w:rPr>
              <w:t>Grau hinterlegte Kästen wie dieser sind Hinweise für Sie als Vergabestelle und werden vor der Veröffentlichung entfernt.</w:t>
            </w:r>
          </w:p>
        </w:tc>
      </w:tr>
    </w:tbl>
    <w:p w14:paraId="145EA7B6" w14:textId="77777777" w:rsidR="00AD227C" w:rsidRDefault="00AD227C">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D227C" w14:paraId="05A75230" w14:textId="77777777">
        <w:tc>
          <w:tcPr>
            <w:tcW w:w="9360" w:type="dxa"/>
            <w:tcBorders>
              <w:top w:val="single" w:sz="2" w:space="0" w:color="CCCCCC"/>
              <w:left w:val="single" w:sz="12" w:space="0" w:color="B01019"/>
              <w:bottom w:val="single" w:sz="2" w:space="0" w:color="CCCCCC"/>
              <w:right w:val="single" w:sz="2" w:space="0" w:color="CCCCCC"/>
            </w:tcBorders>
            <w:shd w:val="clear" w:color="auto" w:fill="F2F2F2"/>
            <w:tcMar>
              <w:top w:w="120" w:type="dxa"/>
              <w:left w:w="160" w:type="dxa"/>
              <w:bottom w:w="120" w:type="dxa"/>
              <w:right w:w="160" w:type="dxa"/>
            </w:tcMar>
          </w:tcPr>
          <w:p w14:paraId="0E54AA5E" w14:textId="77777777" w:rsidR="00AD227C" w:rsidRDefault="00000000">
            <w:pPr>
              <w:spacing w:after="60"/>
            </w:pPr>
            <w:r>
              <w:rPr>
                <w:b/>
                <w:bCs/>
                <w:color w:val="B01019"/>
                <w:sz w:val="18"/>
                <w:szCs w:val="18"/>
              </w:rPr>
              <w:t>Zuerst: Verfahren und Wert klären</w:t>
            </w:r>
          </w:p>
          <w:p w14:paraId="611882EE" w14:textId="31DA0855" w:rsidR="00AD227C" w:rsidRDefault="00000000">
            <w:pPr>
              <w:spacing w:after="60"/>
            </w:pPr>
            <w:r>
              <w:rPr>
                <w:i/>
                <w:iCs/>
                <w:sz w:val="20"/>
                <w:szCs w:val="20"/>
              </w:rPr>
              <w:t>Die Wahl der Verfahrensart richtet sich nach dem geschätzten Auftragswert der Begleitleistung – nicht nach dem Relaunch-Budget. Erfahrungsgemäß liegt dieser Wert deutlich unter 100.000 EUR netto; bei einer kleinen bis mittelgroßen Hochschule bewegt sich das gesamte Paket bei bis 50.000 EUR netto.</w:t>
            </w:r>
          </w:p>
          <w:p w14:paraId="0463D9CD" w14:textId="77777777" w:rsidR="00AD227C" w:rsidRDefault="00000000">
            <w:pPr>
              <w:spacing w:after="60"/>
            </w:pPr>
            <w:r>
              <w:rPr>
                <w:i/>
                <w:iCs/>
                <w:sz w:val="20"/>
                <w:szCs w:val="20"/>
              </w:rPr>
              <w:t>Damit liegt die Beschaffung klar unterhalb des EU-Schwellenwerts: Es gilt nationales Vergaberecht (UVgO). Je nach landesrechtlicher Wertgrenze kommen eine Verhandlungsvergabe (mit Konzeptbewertung und Bietergesprächen wie unten vorgesehen) oder – bei kleineren Werten – ein vereinfachtes Verfahren bzw. ein Direktauftrag in Betracht. Prüfen Sie Ihren konkreten Wert und die für Sie geltenden Wertgrenzen, bevor Sie diese Vorlage konkretisieren.</w:t>
            </w:r>
          </w:p>
        </w:tc>
      </w:tr>
    </w:tbl>
    <w:p w14:paraId="7F089E33" w14:textId="77777777" w:rsidR="00AD227C" w:rsidRDefault="00AD227C">
      <w:pPr>
        <w:spacing w:after="120"/>
      </w:pPr>
    </w:p>
    <w:p w14:paraId="08AA1586" w14:textId="77777777" w:rsidR="00AD227C" w:rsidRDefault="00000000">
      <w:pPr>
        <w:pStyle w:val="berschrift1"/>
      </w:pPr>
      <w:r>
        <w:t>1. Gegenstand der Maßnahme</w:t>
      </w:r>
    </w:p>
    <w:p w14:paraId="00086710" w14:textId="77777777" w:rsidR="00AD227C" w:rsidRDefault="00000000">
      <w:pPr>
        <w:spacing w:after="120"/>
      </w:pPr>
      <w:r>
        <w:rPr>
          <w:b/>
          <w:bCs/>
        </w:rPr>
        <w:t xml:space="preserve">Maßnahme: </w:t>
      </w:r>
      <w:r>
        <w:t>[Fachliche Begleitung des Website-Relaunches der …]</w:t>
      </w:r>
    </w:p>
    <w:p w14:paraId="5D6678D3" w14:textId="77777777" w:rsidR="00AD227C" w:rsidRDefault="00000000">
      <w:pPr>
        <w:spacing w:after="120"/>
      </w:pPr>
      <w:r>
        <w:t>Wir bitten Sie, für die o.g. Maßnahme ein Angebot zu erstellen und dieses bis zum [Datum, Uhrzeit] über [Vergabeportal / E-Mail an … / postalisch an …] einzureichen. Maßgeblich ist der Eingang bei der unter [Kontakt] genannten Stelle.</w:t>
      </w:r>
    </w:p>
    <w:p w14:paraId="3F361058" w14:textId="77777777" w:rsidR="00AD227C" w:rsidRDefault="00000000">
      <w:pPr>
        <w:spacing w:after="120"/>
      </w:pPr>
      <w:r>
        <w:t>[Kurze Beschreibung des Vorhabens – z.B.: Die derzeitige Website der … ist rund … Jahre alt und soll technisch und redaktionell erneuert werden.]</w:t>
      </w:r>
    </w:p>
    <w:p w14:paraId="181DD158" w14:textId="77777777" w:rsidR="00AD227C" w:rsidRDefault="00000000">
      <w:pPr>
        <w:spacing w:after="120"/>
      </w:pPr>
      <w:r>
        <w:t>Wichtig sind insbesondere (Beispiele – bitte auswählen und ergänzen):</w:t>
      </w:r>
    </w:p>
    <w:p w14:paraId="4AF4DA7C" w14:textId="77777777" w:rsidR="00AD227C" w:rsidRDefault="00000000">
      <w:pPr>
        <w:pStyle w:val="Listenabsatz"/>
        <w:numPr>
          <w:ilvl w:val="0"/>
          <w:numId w:val="2"/>
        </w:numPr>
        <w:spacing w:after="80"/>
      </w:pPr>
      <w:r>
        <w:t>Mobile Nutzbarkeit: Der überwiegende Teil der Zugriffe erfolgt mobil; die bestehende Website ist dafür nicht ausgelegt.</w:t>
      </w:r>
    </w:p>
    <w:p w14:paraId="2E6EA5C2" w14:textId="77777777" w:rsidR="00AD227C" w:rsidRDefault="00000000">
      <w:pPr>
        <w:pStyle w:val="Listenabsatz"/>
        <w:numPr>
          <w:ilvl w:val="0"/>
          <w:numId w:val="2"/>
        </w:numPr>
        <w:spacing w:after="80"/>
      </w:pPr>
      <w:r>
        <w:t>Ansprache der Hauptzielgruppe der Studieninteressierten und bessere Sichtbarkeit im Studierendenmarketing (Auffindbarkeit, Orientierung, Conversion).</w:t>
      </w:r>
    </w:p>
    <w:p w14:paraId="65D9CDBB" w14:textId="59480B4C" w:rsidR="00AD227C" w:rsidRDefault="00000000">
      <w:pPr>
        <w:pStyle w:val="Listenabsatz"/>
        <w:numPr>
          <w:ilvl w:val="0"/>
          <w:numId w:val="2"/>
        </w:numPr>
        <w:spacing w:after="80"/>
      </w:pPr>
      <w:r>
        <w:t>Barrierefreiheit – für öffentliche Stellen verpflichtend, derzeit nicht erfüllt.</w:t>
      </w:r>
    </w:p>
    <w:p w14:paraId="6FB658FF" w14:textId="77777777" w:rsidR="00AD227C" w:rsidRDefault="00000000">
      <w:pPr>
        <w:pStyle w:val="Listenabsatz"/>
        <w:numPr>
          <w:ilvl w:val="0"/>
          <w:numId w:val="2"/>
        </w:numPr>
        <w:spacing w:after="80"/>
      </w:pPr>
      <w:r>
        <w:t>Redaktionelle Bedienbarkeit: Das bestehende System ist für die – häufig dezentralen – Redaktionen schwer zu pflegen.</w:t>
      </w:r>
    </w:p>
    <w:p w14:paraId="41811537" w14:textId="77777777" w:rsidR="00AD227C" w:rsidRDefault="00000000">
      <w:pPr>
        <w:pStyle w:val="Listenabsatz"/>
        <w:numPr>
          <w:ilvl w:val="0"/>
          <w:numId w:val="2"/>
        </w:numPr>
        <w:spacing w:after="80"/>
      </w:pPr>
      <w:r>
        <w:lastRenderedPageBreak/>
        <w:t>Technischer Stand und Sicherheit: veraltete Technik, ausbleibende Updates, steigendes Sicherheitsrisiko.</w:t>
      </w:r>
    </w:p>
    <w:p w14:paraId="1017AC16" w14:textId="77777777" w:rsidR="00AD227C" w:rsidRDefault="00000000">
      <w:pPr>
        <w:pStyle w:val="Listenabsatz"/>
        <w:numPr>
          <w:ilvl w:val="0"/>
          <w:numId w:val="2"/>
        </w:numPr>
        <w:spacing w:after="80"/>
      </w:pPr>
      <w:r>
        <w:t>Ladezeiten und Performance sowie eine über die Jahre gewachsene, unübersichtliche Informationsarchitektur.</w:t>
      </w:r>
    </w:p>
    <w:p w14:paraId="773177F1" w14:textId="5C74C432" w:rsidR="00AD227C" w:rsidRDefault="00000000">
      <w:pPr>
        <w:spacing w:after="120"/>
      </w:pPr>
      <w:r>
        <w:rPr>
          <w:b/>
          <w:bCs/>
        </w:rPr>
        <w:t xml:space="preserve">Rahmen des nachgelagerten Relaunches: </w:t>
      </w:r>
      <w:r>
        <w:t>Derzeit gehen wir von einem Budget von rund [200.000] EUR zzgl. USt. aus. Das Budget für Wartung und Weiterentwicklung ist darin nicht enthalten. Die hier ausgeschriebene Leistung ist ausschließlich die fachliche Begleitung, nicht die Umsetzung selbst.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D227C" w14:paraId="1B828B49" w14:textId="77777777">
        <w:tc>
          <w:tcPr>
            <w:tcW w:w="9360" w:type="dxa"/>
            <w:tcBorders>
              <w:top w:val="single" w:sz="2" w:space="0" w:color="CCCCCC"/>
              <w:left w:val="single" w:sz="12" w:space="0" w:color="B01019"/>
              <w:bottom w:val="single" w:sz="2" w:space="0" w:color="CCCCCC"/>
              <w:right w:val="single" w:sz="2" w:space="0" w:color="CCCCCC"/>
            </w:tcBorders>
            <w:shd w:val="clear" w:color="auto" w:fill="F2F2F2"/>
            <w:tcMar>
              <w:top w:w="120" w:type="dxa"/>
              <w:left w:w="160" w:type="dxa"/>
              <w:bottom w:w="120" w:type="dxa"/>
              <w:right w:w="160" w:type="dxa"/>
            </w:tcMar>
          </w:tcPr>
          <w:p w14:paraId="3FD36258" w14:textId="77777777" w:rsidR="00AD227C" w:rsidRDefault="00000000">
            <w:pPr>
              <w:spacing w:after="60"/>
            </w:pPr>
            <w:r>
              <w:rPr>
                <w:b/>
                <w:bCs/>
                <w:color w:val="B01019"/>
                <w:sz w:val="18"/>
                <w:szCs w:val="18"/>
              </w:rPr>
              <w:t>Warum diese Trennung wichtig ist</w:t>
            </w:r>
          </w:p>
          <w:p w14:paraId="2B70A54F" w14:textId="21E01B90" w:rsidR="00AD227C" w:rsidRDefault="00000000">
            <w:pPr>
              <w:spacing w:after="60"/>
            </w:pPr>
            <w:r>
              <w:rPr>
                <w:i/>
                <w:iCs/>
                <w:sz w:val="20"/>
                <w:szCs w:val="20"/>
              </w:rPr>
              <w:t>Der Relaunch selbst (Design, Entwicklung, Umsetzung) wird getrennt vergeben. Halten Sie die Begleitung sauber davon getrennt – das ist Voraussetzung für die Unabhängigkeit unter Ziffer 3 und schützt Ihr Verfahren vor Interessenkonflikten.</w:t>
            </w:r>
          </w:p>
        </w:tc>
      </w:tr>
    </w:tbl>
    <w:p w14:paraId="1B828C90" w14:textId="77777777" w:rsidR="00AD227C" w:rsidRDefault="00AD227C">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D227C" w14:paraId="1B828C51" w14:textId="77777777">
        <w:tc>
          <w:tcPr>
            <w:tcW w:w="9360" w:type="dxa"/>
            <w:tcBorders>
              <w:top w:val="single" w:sz="2" w:space="0" w:color="CCCCCC"/>
              <w:left w:val="single" w:sz="12" w:space="0" w:color="B01019"/>
              <w:bottom w:val="single" w:sz="2" w:space="0" w:color="CCCCCC"/>
              <w:right w:val="single" w:sz="2" w:space="0" w:color="CCCCCC"/>
            </w:tcBorders>
            <w:shd w:val="clear" w:color="auto" w:fill="F2F2F2"/>
            <w:tcMar>
              <w:top w:w="120" w:type="dxa"/>
              <w:left w:w="160" w:type="dxa"/>
              <w:bottom w:w="120" w:type="dxa"/>
              <w:right w:w="160" w:type="dxa"/>
            </w:tcMar>
          </w:tcPr>
          <w:p w14:paraId="3FD36301" w14:textId="77777777" w:rsidR="00AD227C" w:rsidRDefault="00000000">
            <w:pPr>
              <w:spacing w:after="60"/>
            </w:pPr>
            <w:r>
              <w:rPr>
                <w:b/>
                <w:bCs/>
                <w:color w:val="B01019"/>
                <w:sz w:val="18"/>
                <w:szCs w:val="18"/>
              </w:rPr>
              <w:t>Wenn das Relaunch-Budget noch unklar ist</w:t>
            </w:r>
          </w:p>
          <w:p w14:paraId="2B70A501" w14:textId="21E01B91" w:rsidR="00AD227C" w:rsidRDefault="00000000">
            <w:pPr>
              <w:spacing w:after="60"/>
            </w:pPr>
            <w:r>
              <w:rPr>
                <w:i/>
                <w:iCs/>
                <w:sz w:val="20"/>
                <w:szCs w:val="20"/>
              </w:rPr>
              <w:t>Steht noch kein Budget fest, ersetzen Sie die Budgetangabe oben durch einen Hinweis wie: „Ein Budget ist noch nicht festgelegt.“ Die beauftragte Begleitung erarbeitet dann in Abschnitt 2.1 eine Budgetempfehlung, berät zu einem sinnvollen Budgetrahmen und erstellt eine Entscheidungsvorlage für die budgetentscheidenden Gremien – als Grundlage für einen fundierten Beschluss, bevor die Relaunch-Vergabe startet.</w:t>
            </w:r>
          </w:p>
        </w:tc>
      </w:tr>
    </w:tbl>
    <w:p w14:paraId="7A264336" w14:textId="77777777" w:rsidR="00AD227C" w:rsidRDefault="00AD227C">
      <w:pPr>
        <w:pBdr>
          <w:bottom w:val="single" w:sz="6" w:space="1" w:color="999999"/>
        </w:pBdr>
        <w:spacing w:before="120" w:after="120"/>
      </w:pPr>
    </w:p>
    <w:p w14:paraId="28ED6AB3" w14:textId="77777777" w:rsidR="00AD227C" w:rsidRDefault="00000000">
      <w:pPr>
        <w:pStyle w:val="berschrift1"/>
      </w:pPr>
      <w:r>
        <w:t>2. Zu erbringende Leistungen</w:t>
      </w:r>
    </w:p>
    <w:p w14:paraId="37232713" w14:textId="77777777" w:rsidR="00AD227C" w:rsidRDefault="00000000">
      <w:pPr>
        <w:spacing w:after="120"/>
      </w:pPr>
      <w:r>
        <w:t>Die Begleitung wird als durchgehende Leistung über alle folgenden Phasen erbracht – verantwortet von derselben Person bzw. demselben Team von der Analyse bis zur Migration. Eine Vergabe in unverbundenen Einzelmodulen ist nicht Gegenstand dieser Ausschreibung.</w:t>
      </w:r>
    </w:p>
    <w:p w14:paraId="5A9ED9C5" w14:textId="77777777" w:rsidR="00AD227C" w:rsidRDefault="00000000">
      <w:pPr>
        <w:pStyle w:val="berschrift2"/>
      </w:pPr>
      <w:r>
        <w:t>2.1 Analyse der Ist-Situation, Evaluation und Budgetempfehlung</w:t>
      </w:r>
    </w:p>
    <w:p w14:paraId="1B153A8D" w14:textId="77777777" w:rsidR="00AD227C" w:rsidRDefault="00000000">
      <w:pPr>
        <w:pStyle w:val="Listenabsatz"/>
        <w:numPr>
          <w:ilvl w:val="0"/>
          <w:numId w:val="2"/>
        </w:numPr>
        <w:spacing w:after="80"/>
      </w:pPr>
      <w:r>
        <w:t>Aufnahme der aktuellen Probleme aus Sicht von zentraler Webredaktion, Rechenzentrum und Presse-/Kommunikationsstelle.</w:t>
      </w:r>
    </w:p>
    <w:p w14:paraId="187400DA" w14:textId="147E719C" w:rsidR="00AD227C" w:rsidRDefault="00000000">
      <w:pPr>
        <w:pStyle w:val="Listenabsatz"/>
        <w:numPr>
          <w:ilvl w:val="0"/>
          <w:numId w:val="2"/>
        </w:numPr>
        <w:spacing w:after="80"/>
      </w:pPr>
      <w:r>
        <w:t>Datengestützte Analyse der Sichtbarkeit in Suchmaschinen. Erwartet werden insbesondere:</w:t>
      </w:r>
    </w:p>
    <w:p w14:paraId="35516591" w14:textId="77777777" w:rsidR="00AD227C" w:rsidRDefault="00000000">
      <w:pPr>
        <w:pStyle w:val="Listenabsatz"/>
        <w:numPr>
          <w:ilvl w:val="1"/>
          <w:numId w:val="2"/>
        </w:numPr>
        <w:spacing w:after="80"/>
      </w:pPr>
      <w:r>
        <w:t>aktuelle Keyword-Rankings und die Entwicklung der Sichtbarkeit im Zeitverlauf;</w:t>
      </w:r>
    </w:p>
    <w:p w14:paraId="0EB23243" w14:textId="77777777" w:rsidR="00AD227C" w:rsidRDefault="00000000">
      <w:pPr>
        <w:pStyle w:val="Listenabsatz"/>
        <w:numPr>
          <w:ilvl w:val="1"/>
          <w:numId w:val="2"/>
        </w:numPr>
        <w:spacing w:after="80"/>
      </w:pPr>
      <w:r>
        <w:t>ein Wettbewerbs- und Sichtbarkeitsvergleich mit relevanten anderen Hochschulen bzw. Angeboten;</w:t>
      </w:r>
    </w:p>
    <w:p w14:paraId="653EEBDC" w14:textId="77777777" w:rsidR="00AD227C" w:rsidRDefault="00000000">
      <w:pPr>
        <w:pStyle w:val="Listenabsatz"/>
        <w:numPr>
          <w:ilvl w:val="1"/>
          <w:numId w:val="2"/>
        </w:numPr>
        <w:spacing w:after="80"/>
      </w:pPr>
      <w:r>
        <w:t>Identifikation von Sichtbarkeitslücken und ungenutzten Potenzialen (Themen, Suchbegriffe, Zielgruppe der Studieninteressierten);</w:t>
      </w:r>
    </w:p>
    <w:p w14:paraId="39EB479D" w14:textId="77777777" w:rsidR="00AD227C" w:rsidRDefault="00000000">
      <w:pPr>
        <w:pStyle w:val="Listenabsatz"/>
        <w:numPr>
          <w:ilvl w:val="1"/>
          <w:numId w:val="2"/>
        </w:numPr>
        <w:spacing w:after="80"/>
      </w:pPr>
      <w:r>
        <w:t>Bewertung von Struktur, Indexierbarkeit und Inhalten im Hinblick auf Auffindbarkeit.</w:t>
      </w:r>
    </w:p>
    <w:p w14:paraId="12273312" w14:textId="77777777" w:rsidR="00AD227C" w:rsidRDefault="00000000">
      <w:pPr>
        <w:pStyle w:val="Listenabsatz"/>
        <w:numPr>
          <w:ilvl w:val="0"/>
          <w:numId w:val="2"/>
        </w:numPr>
        <w:spacing w:after="80"/>
      </w:pPr>
      <w:r>
        <w:t>Analyse der bestehenden Website: Umfang und Struktur der Inhalte.</w:t>
      </w:r>
    </w:p>
    <w:p w14:paraId="04DEF5A3" w14:textId="77777777" w:rsidR="00AD227C" w:rsidRDefault="00000000">
      <w:pPr>
        <w:pStyle w:val="Listenabsatz"/>
        <w:numPr>
          <w:ilvl w:val="0"/>
          <w:numId w:val="2"/>
        </w:numPr>
        <w:spacing w:after="80"/>
      </w:pPr>
      <w:r>
        <w:t>Analyse der Funktionen und der Schnittstellen zu Drittsystemen. Die beauftragte Begleitung führt diese Analyse (Erhebung, gezielte Nachfragen, Prüfung); Webredaktion und Rechenzentrum unterstützen dabei und stellen die erforderlichen Informationen und Zugänge bereit.</w:t>
      </w:r>
    </w:p>
    <w:p w14:paraId="78821540" w14:textId="77777777" w:rsidR="00AD227C" w:rsidRDefault="00000000">
      <w:pPr>
        <w:pStyle w:val="Listenabsatz"/>
        <w:numPr>
          <w:ilvl w:val="0"/>
          <w:numId w:val="2"/>
        </w:numPr>
        <w:spacing w:after="80"/>
      </w:pPr>
      <w:r>
        <w:t>Evaluation geeigneter Open-Source-CMS mit begründeter, herstellerneutraler Empfehlung.</w:t>
      </w:r>
    </w:p>
    <w:p w14:paraId="31762A71" w14:textId="77777777" w:rsidR="00AD227C" w:rsidRDefault="00000000">
      <w:pPr>
        <w:pStyle w:val="Listenabsatz"/>
        <w:numPr>
          <w:ilvl w:val="0"/>
          <w:numId w:val="2"/>
        </w:numPr>
        <w:spacing w:after="80"/>
      </w:pPr>
      <w:r>
        <w:lastRenderedPageBreak/>
        <w:t>Budgetempfehlung für den Relaunch. Weicht das tatsächlich verfügbare Budget von dieser Empfehlung ab – der Regelfall –, wird der Leistungsumfang des Relaunches so angepasst, dass Umfang und verfügbares Budget in Passung kommen. Diese Abstimmung bildet die Grundlage für die anschließenden Vergaben.</w:t>
      </w:r>
    </w:p>
    <w:p w14:paraId="1D470400" w14:textId="77777777" w:rsidR="00AD227C" w:rsidRDefault="00000000">
      <w:pPr>
        <w:pStyle w:val="berschrift2"/>
      </w:pPr>
      <w:r>
        <w:t>2.2 Begleitung der Vergaben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D227C" w14:paraId="6391BF66" w14:textId="77777777">
        <w:tc>
          <w:tcPr>
            <w:tcW w:w="9360" w:type="dxa"/>
            <w:tcBorders>
              <w:top w:val="single" w:sz="2" w:space="0" w:color="CCCCCC"/>
              <w:left w:val="single" w:sz="12" w:space="0" w:color="B01019"/>
              <w:bottom w:val="single" w:sz="2" w:space="0" w:color="CCCCCC"/>
              <w:right w:val="single" w:sz="2" w:space="0" w:color="CCCCCC"/>
            </w:tcBorders>
            <w:shd w:val="clear" w:color="auto" w:fill="F2F2F2"/>
            <w:tcMar>
              <w:top w:w="120" w:type="dxa"/>
              <w:left w:w="160" w:type="dxa"/>
              <w:bottom w:w="120" w:type="dxa"/>
              <w:right w:w="160" w:type="dxa"/>
            </w:tcMar>
          </w:tcPr>
          <w:p w14:paraId="48712A66" w14:textId="77777777" w:rsidR="00AD227C" w:rsidRDefault="00000000">
            <w:pPr>
              <w:spacing w:after="60"/>
            </w:pPr>
            <w:r>
              <w:rPr>
                <w:b/>
                <w:bCs/>
                <w:color w:val="B01019"/>
                <w:sz w:val="18"/>
                <w:szCs w:val="18"/>
              </w:rPr>
              <w:t>Beide Vergaben von Anfang an mitdenken</w:t>
            </w:r>
          </w:p>
          <w:p w14:paraId="38745FF3" w14:textId="77777777" w:rsidR="00AD227C" w:rsidRDefault="00000000">
            <w:pPr>
              <w:spacing w:after="60"/>
            </w:pPr>
            <w:r>
              <w:rPr>
                <w:i/>
                <w:iCs/>
                <w:sz w:val="20"/>
                <w:szCs w:val="20"/>
              </w:rPr>
              <w:t>Auf den Relaunch folgt zwingend der Betrieb – Wartung und Weiterentwicklung. Planen Sie beide Vergaben von Beginn an mit und bereiten Sie sie jeweils eigenständig und fachlich sauber vor. Wer erst nach dem Go-Live an die Weiterentwicklung denkt, verliert Zeit und Verhandlungsspielraum.</w:t>
            </w:r>
          </w:p>
        </w:tc>
      </w:tr>
    </w:tbl>
    <w:p w14:paraId="696888E3" w14:textId="77777777" w:rsidR="00AD227C" w:rsidRDefault="00000000">
      <w:pPr>
        <w:pStyle w:val="Listenabsatz"/>
        <w:numPr>
          <w:ilvl w:val="0"/>
          <w:numId w:val="2"/>
        </w:numPr>
        <w:spacing w:after="80"/>
      </w:pPr>
      <w:r>
        <w:t>Begleitung der Vergabe des Relaunches.</w:t>
      </w:r>
    </w:p>
    <w:p w14:paraId="6A586EB0" w14:textId="77777777" w:rsidR="00AD227C" w:rsidRDefault="00000000">
      <w:pPr>
        <w:pStyle w:val="Listenabsatz"/>
        <w:numPr>
          <w:ilvl w:val="0"/>
          <w:numId w:val="2"/>
        </w:numPr>
        <w:spacing w:after="80"/>
      </w:pPr>
      <w:r>
        <w:t>Begleitung der Vergabe für Wartung und Weiterentwicklung.</w:t>
      </w:r>
    </w:p>
    <w:p w14:paraId="5D9B4A4D" w14:textId="77777777" w:rsidR="00AD227C" w:rsidRDefault="00000000">
      <w:pPr>
        <w:spacing w:after="60"/>
      </w:pPr>
      <w:r>
        <w:rPr>
          <w:b/>
          <w:bCs/>
        </w:rPr>
        <w:t>Insbesondere zu leisten:</w:t>
      </w:r>
    </w:p>
    <w:p w14:paraId="297E492F" w14:textId="77777777" w:rsidR="00AD227C" w:rsidRDefault="00000000">
      <w:pPr>
        <w:pStyle w:val="Listenabsatz"/>
        <w:numPr>
          <w:ilvl w:val="0"/>
          <w:numId w:val="2"/>
        </w:numPr>
        <w:spacing w:after="80"/>
      </w:pPr>
      <w:r>
        <w:t>Vorbereitung der fachlichen Vergabeunterlagen (Leistungsbeschreibung, Wertungssystematik).</w:t>
      </w:r>
    </w:p>
    <w:p w14:paraId="6CCA686A" w14:textId="77777777" w:rsidR="00AD227C" w:rsidRDefault="00000000">
      <w:pPr>
        <w:pStyle w:val="Listenabsatz"/>
        <w:numPr>
          <w:ilvl w:val="0"/>
          <w:numId w:val="2"/>
        </w:numPr>
        <w:spacing w:after="80"/>
      </w:pPr>
      <w:r>
        <w:t>Erarbeitung von Entwürfen für den vertraglichen Rahmen aus fachlicher Sicht (Vertrags-Eckpunkte, Leistungs- und Vertragsbestandteile) als Vorlage für die abschließende rechtliche Prüfung durch die Auftraggeberin.</w:t>
      </w:r>
    </w:p>
    <w:p w14:paraId="2C148A45" w14:textId="77777777" w:rsidR="00AD227C" w:rsidRDefault="00000000">
      <w:pPr>
        <w:pStyle w:val="Listenabsatz"/>
        <w:numPr>
          <w:ilvl w:val="0"/>
          <w:numId w:val="2"/>
        </w:numPr>
        <w:spacing w:after="80"/>
      </w:pPr>
      <w:r>
        <w:t>Fachliche Unterstützung bei der Beantwortung von Bewerber- und Bieterfragen.</w:t>
      </w:r>
    </w:p>
    <w:p w14:paraId="2B0931CA" w14:textId="77777777" w:rsidR="00AD227C" w:rsidRDefault="00000000">
      <w:pPr>
        <w:pStyle w:val="Listenabsatz"/>
        <w:numPr>
          <w:ilvl w:val="0"/>
          <w:numId w:val="2"/>
        </w:numPr>
        <w:spacing w:after="80"/>
      </w:pPr>
      <w:r>
        <w:t>Fachliche Begleitung der Bietergespräche.</w:t>
      </w:r>
    </w:p>
    <w:p w14:paraId="1AC7D91E" w14:textId="77777777" w:rsidR="00AD227C" w:rsidRDefault="00000000">
      <w:pPr>
        <w:pStyle w:val="Listenabsatz"/>
        <w:numPr>
          <w:ilvl w:val="0"/>
          <w:numId w:val="2"/>
        </w:numPr>
        <w:spacing w:after="80"/>
      </w:pPr>
      <w:r>
        <w:t>Plausibilitätsprüfung der Angebote für die Vergabeakte.</w:t>
      </w:r>
    </w:p>
    <w:p w14:paraId="7FE1195A" w14:textId="77777777" w:rsidR="00AD227C" w:rsidRDefault="00000000">
      <w:pPr>
        <w:pStyle w:val="berschrift2"/>
      </w:pPr>
      <w:r>
        <w:t>2.3 Beratende Begleitung der Umsetzung</w:t>
      </w:r>
    </w:p>
    <w:p w14:paraId="7996A081" w14:textId="77777777" w:rsidR="00AD227C" w:rsidRDefault="00000000">
      <w:pPr>
        <w:pStyle w:val="Listenabsatz"/>
        <w:numPr>
          <w:ilvl w:val="0"/>
          <w:numId w:val="2"/>
        </w:numPr>
        <w:spacing w:after="80"/>
      </w:pPr>
      <w:r>
        <w:t>Kurze fachliche Beurteilung bei Rückfragen der Relaunch-Projektleitung der Auftraggeberin.</w:t>
      </w:r>
    </w:p>
    <w:p w14:paraId="22987D03" w14:textId="77777777" w:rsidR="00AD227C" w:rsidRDefault="00000000">
      <w:pPr>
        <w:pStyle w:val="Listenabsatz"/>
        <w:numPr>
          <w:ilvl w:val="0"/>
          <w:numId w:val="2"/>
        </w:numPr>
        <w:spacing w:after="80"/>
      </w:pPr>
      <w:r>
        <w:t>Sparring zu Arbeitsweise und Vorgehen.</w:t>
      </w:r>
    </w:p>
    <w:p w14:paraId="4F009137" w14:textId="77777777" w:rsidR="00AD227C" w:rsidRDefault="00000000">
      <w:pPr>
        <w:pStyle w:val="berschrift2"/>
      </w:pPr>
      <w:r>
        <w:t>2.4 Beratende Begleitung der Migration</w:t>
      </w:r>
    </w:p>
    <w:p w14:paraId="63CFBC80" w14:textId="77777777" w:rsidR="00AD227C" w:rsidRDefault="00000000">
      <w:pPr>
        <w:pStyle w:val="Listenabsatz"/>
        <w:numPr>
          <w:ilvl w:val="0"/>
          <w:numId w:val="2"/>
        </w:numPr>
        <w:spacing w:after="80"/>
      </w:pPr>
      <w:r>
        <w:t>Beratung bei der Vorbereitung der Migration.</w:t>
      </w:r>
    </w:p>
    <w:p w14:paraId="337F6C51" w14:textId="77777777" w:rsidR="00AD227C" w:rsidRDefault="00000000">
      <w:pPr>
        <w:pStyle w:val="Listenabsatz"/>
        <w:numPr>
          <w:ilvl w:val="0"/>
          <w:numId w:val="2"/>
        </w:numPr>
        <w:spacing w:after="80"/>
      </w:pPr>
      <w:r>
        <w:t>Begleitung der Projektleitung der Auftraggeberin während der Migration – einschließlich der organisatorischen Seite (Übernahme, Redaktion, Zuständigkeiten), nicht nur der technischen.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D227C" w14:paraId="08A71A30" w14:textId="77777777">
        <w:tc>
          <w:tcPr>
            <w:tcW w:w="9360" w:type="dxa"/>
            <w:tcBorders>
              <w:top w:val="single" w:sz="2" w:space="0" w:color="CCCCCC"/>
              <w:left w:val="single" w:sz="12" w:space="0" w:color="B01019"/>
              <w:bottom w:val="single" w:sz="2" w:space="0" w:color="CCCCCC"/>
              <w:right w:val="single" w:sz="2" w:space="0" w:color="CCCCCC"/>
            </w:tcBorders>
            <w:shd w:val="clear" w:color="auto" w:fill="F2F2F2"/>
            <w:tcMar>
              <w:top w:w="120" w:type="dxa"/>
              <w:left w:w="160" w:type="dxa"/>
              <w:bottom w:w="120" w:type="dxa"/>
              <w:right w:w="160" w:type="dxa"/>
            </w:tcMar>
          </w:tcPr>
          <w:p w14:paraId="3A6B35E5" w14:textId="77777777" w:rsidR="00AD227C" w:rsidRDefault="00000000">
            <w:pPr>
              <w:spacing w:after="60"/>
            </w:pPr>
            <w:r>
              <w:rPr>
                <w:b/>
                <w:bCs/>
                <w:color w:val="B01019"/>
                <w:sz w:val="18"/>
                <w:szCs w:val="18"/>
              </w:rPr>
              <w:t>Bewusst über den Go-Live hinaus</w:t>
            </w:r>
          </w:p>
          <w:p w14:paraId="3DFF5D32" w14:textId="77777777" w:rsidR="00AD227C" w:rsidRDefault="00000000">
            <w:pPr>
              <w:spacing w:after="60"/>
            </w:pPr>
            <w:r>
              <w:rPr>
                <w:i/>
                <w:iCs/>
                <w:sz w:val="20"/>
                <w:szCs w:val="20"/>
              </w:rPr>
              <w:t>Der größte Schmerz eines Relaunches liegt erfahrungsgemäß nicht im Go-Live, sondern in der Content-Migration und im Betrieb danach. Wenn Ihre Begleitung am Go-Live endet, bleibt genau der schwierigste Teil unbegleitet. Diese Vorlage zieht den Bogen bewusst bis in die Migration und die anschließende Weiterentwicklung.</w:t>
            </w:r>
          </w:p>
        </w:tc>
      </w:tr>
    </w:tbl>
    <w:p w14:paraId="0DA460CF" w14:textId="77777777" w:rsidR="00AD227C" w:rsidRDefault="00AD227C">
      <w:pPr>
        <w:pBdr>
          <w:bottom w:val="single" w:sz="6" w:space="1" w:color="999999"/>
        </w:pBdr>
        <w:spacing w:before="120" w:after="120"/>
      </w:pPr>
    </w:p>
    <w:p w14:paraId="76228F9B" w14:textId="77777777" w:rsidR="00AD227C" w:rsidRDefault="00000000">
      <w:pPr>
        <w:pStyle w:val="berschrift1"/>
      </w:pPr>
      <w:r>
        <w:t>3. Eignung (Mindestanforderungen)</w:t>
      </w:r>
    </w:p>
    <w:p w14:paraId="26EC262B" w14:textId="77777777" w:rsidR="00AD227C" w:rsidRDefault="00000000">
      <w:pPr>
        <w:spacing w:after="120"/>
      </w:pPr>
      <w:r>
        <w:t>Die folgenden Anforderungen sind Mindestbedingungen. Sie werden vor der inhaltlichen Wertung geprüft und mit „erfüllt / nicht erfüllt“ bewertet; sie fließen nicht in die Punktwertung der Angebote ein.</w:t>
      </w:r>
    </w:p>
    <w:p w14:paraId="4C811903" w14:textId="77777777" w:rsidR="00AD227C" w:rsidRDefault="00000000">
      <w:pPr>
        <w:pStyle w:val="berschrift2"/>
      </w:pPr>
      <w:r>
        <w:lastRenderedPageBreak/>
        <w:t>3.1 Referenzen</w:t>
      </w:r>
    </w:p>
    <w:p w14:paraId="6E612D2D" w14:textId="29E7ABD6" w:rsidR="00AD227C" w:rsidRDefault="00000000">
      <w:pPr>
        <w:spacing w:after="120"/>
      </w:pPr>
      <w:r>
        <w:t>Mindestens drei Referenzen aus den letzten fünf Jahren über die Begleitung von Vergaben im Bereich Website-Relaunch – an Hochschulen, hochschulnahen Einrichtungen oder im öffentlichen Bereich –, jeweils mit einer Ansprechperson für Rückfragen.</w:t>
      </w:r>
    </w:p>
    <w:p w14:paraId="68EFE3D7" w14:textId="77777777" w:rsidR="00AD227C" w:rsidRDefault="00000000">
      <w:pPr>
        <w:pStyle w:val="berschrift2"/>
      </w:pPr>
      <w:r>
        <w:t>3.2 Fachliche Eignung</w:t>
      </w:r>
    </w:p>
    <w:p w14:paraId="5604A08C" w14:textId="77777777" w:rsidR="00AD227C" w:rsidRDefault="00000000">
      <w:pPr>
        <w:spacing w:after="120"/>
      </w:pPr>
      <w:r>
        <w:t>Plausibel nachzuweisen ist Expertise in:</w:t>
      </w:r>
    </w:p>
    <w:p w14:paraId="0A8FF4DA" w14:textId="77777777" w:rsidR="00AD227C" w:rsidRDefault="00000000">
      <w:pPr>
        <w:pStyle w:val="Listenabsatz"/>
        <w:numPr>
          <w:ilvl w:val="0"/>
          <w:numId w:val="2"/>
        </w:numPr>
        <w:spacing w:after="80"/>
      </w:pPr>
      <w:r>
        <w:t>Open-Source-Content-Management-Systemen (technisch).</w:t>
      </w:r>
    </w:p>
    <w:p w14:paraId="4FB10871" w14:textId="27FDA82D" w:rsidR="00AD227C" w:rsidRDefault="00000000">
      <w:pPr>
        <w:pStyle w:val="Listenabsatz"/>
        <w:numPr>
          <w:ilvl w:val="0"/>
          <w:numId w:val="2"/>
        </w:numPr>
        <w:spacing w:after="80"/>
      </w:pPr>
      <w:r>
        <w:t>Scrum oder vergleichbarem agilem Projektmanagement (Methodik und praktische Erfahrung).</w:t>
      </w:r>
    </w:p>
    <w:p w14:paraId="5AD3F28E" w14:textId="464954CD" w:rsidR="007E1CA2" w:rsidRDefault="00000000" w:rsidP="007E1CA2">
      <w:pPr>
        <w:pStyle w:val="Listenabsatz"/>
        <w:numPr>
          <w:ilvl w:val="0"/>
          <w:numId w:val="2"/>
        </w:numPr>
        <w:spacing w:after="80"/>
      </w:pPr>
      <w:r>
        <w:t>Ausschreibung und Vergabe von Internetprojekten, die agil umgesetzt werden sollen.</w:t>
      </w:r>
    </w:p>
    <w:p w14:paraId="1C4A7B81" w14:textId="77777777" w:rsidR="00AD227C" w:rsidRDefault="00000000">
      <w:pPr>
        <w:pStyle w:val="berschrift2"/>
      </w:pPr>
      <w:r>
        <w:t>3.3 Unabhängigkeit und Freiheit von Interessenkonflikten</w:t>
      </w:r>
    </w:p>
    <w:p w14:paraId="7070C892" w14:textId="77777777" w:rsidR="00AD227C" w:rsidRDefault="00000000">
      <w:pPr>
        <w:pStyle w:val="Listenabsatz"/>
        <w:numPr>
          <w:ilvl w:val="0"/>
          <w:numId w:val="2"/>
        </w:numPr>
        <w:spacing w:after="80"/>
      </w:pPr>
      <w:r>
        <w:t>Der Bieter und mit ihm verbundene Unternehmen wirken am nachgelagerten Relaunch sowie an Wartung und Weiterentwicklung weder selbst mit noch bewerben sie sich darum.</w:t>
      </w:r>
    </w:p>
    <w:p w14:paraId="31CB7889" w14:textId="77777777" w:rsidR="00AD227C" w:rsidRDefault="00000000">
      <w:pPr>
        <w:pStyle w:val="Listenabsatz"/>
        <w:numPr>
          <w:ilvl w:val="0"/>
          <w:numId w:val="2"/>
        </w:numPr>
        <w:spacing w:after="80"/>
      </w:pPr>
      <w:r>
        <w:t>Es bestehen keine Hersteller-, Agentur- oder Produktbindungen, die die Neutralität der Empfehlung (Ziffer 2.1) beeinträchtigen könnten.</w:t>
      </w:r>
    </w:p>
    <w:p w14:paraId="65DBDE08" w14:textId="77777777" w:rsidR="00AD227C" w:rsidRDefault="00000000">
      <w:pPr>
        <w:pStyle w:val="Listenabsatz"/>
        <w:numPr>
          <w:ilvl w:val="0"/>
          <w:numId w:val="2"/>
        </w:numPr>
        <w:spacing w:after="80"/>
      </w:pPr>
      <w:r>
        <w:t>Bestehende oder frühere Verbindungen, die einen Interessenkonflikt begründen könnten, sind offenzulegen.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D227C" w14:paraId="64A34344" w14:textId="77777777">
        <w:tc>
          <w:tcPr>
            <w:tcW w:w="9360" w:type="dxa"/>
            <w:tcBorders>
              <w:top w:val="single" w:sz="2" w:space="0" w:color="CCCCCC"/>
              <w:left w:val="single" w:sz="12" w:space="0" w:color="B01019"/>
              <w:bottom w:val="single" w:sz="2" w:space="0" w:color="CCCCCC"/>
              <w:right w:val="single" w:sz="2" w:space="0" w:color="CCCCCC"/>
            </w:tcBorders>
            <w:shd w:val="clear" w:color="auto" w:fill="F2F2F2"/>
            <w:tcMar>
              <w:top w:w="120" w:type="dxa"/>
              <w:left w:w="160" w:type="dxa"/>
              <w:bottom w:w="120" w:type="dxa"/>
              <w:right w:w="160" w:type="dxa"/>
            </w:tcMar>
          </w:tcPr>
          <w:p w14:paraId="3EE1D6F0" w14:textId="77777777" w:rsidR="00AD227C" w:rsidRDefault="00000000">
            <w:pPr>
              <w:spacing w:after="60"/>
            </w:pPr>
            <w:r>
              <w:rPr>
                <w:b/>
                <w:bCs/>
                <w:color w:val="B01019"/>
                <w:sz w:val="18"/>
                <w:szCs w:val="18"/>
              </w:rPr>
              <w:t>Warum Eignung und Wertung getrennt sind</w:t>
            </w:r>
          </w:p>
          <w:p w14:paraId="78FF7C97" w14:textId="77777777" w:rsidR="00AD227C" w:rsidRDefault="00000000">
            <w:pPr>
              <w:spacing w:after="60"/>
            </w:pPr>
            <w:r>
              <w:rPr>
                <w:i/>
                <w:iCs/>
                <w:sz w:val="20"/>
                <w:szCs w:val="20"/>
              </w:rPr>
              <w:t>Referenzen, Qualifikation und Unabhängigkeit betreffen die Eignung des Bieters (Ja/Nein-Frage). Die Qualität der Konzepte betrifft den Zuschlag (Punkte). Diese beiden Ebenen zu vermischen ist ein häufiger und angreifbarer Vergabefehler – deshalb sind sie hier bewusst getrennt.</w:t>
            </w:r>
          </w:p>
          <w:p w14:paraId="7C5BB107" w14:textId="77777777" w:rsidR="00AD227C" w:rsidRDefault="00000000">
            <w:pPr>
              <w:spacing w:after="60"/>
            </w:pPr>
            <w:r>
              <w:rPr>
                <w:i/>
                <w:iCs/>
                <w:sz w:val="20"/>
                <w:szCs w:val="20"/>
              </w:rPr>
              <w:t>Die Unabhängigkeitsklausel schützt Ihr Verfahren doppelt: Sie hält die Empfehlung neutral und verhindert, dass die von Ihnen beauftragte Begleitung zugleich am Relaunch mitbietet.</w:t>
            </w:r>
          </w:p>
        </w:tc>
      </w:tr>
    </w:tbl>
    <w:p w14:paraId="66586CEE" w14:textId="77777777" w:rsidR="00AD227C" w:rsidRDefault="00000000">
      <w:pPr>
        <w:pStyle w:val="berschrift1"/>
      </w:pPr>
      <w:r>
        <w:t>4. Inhaltliche Anforderungen an das Angebot</w:t>
      </w:r>
    </w:p>
    <w:p w14:paraId="6957CF82" w14:textId="77777777" w:rsidR="00AD227C" w:rsidRDefault="00000000">
      <w:pPr>
        <w:spacing w:after="120"/>
      </w:pPr>
      <w:r>
        <w:t>Die folgenden Konzepte sind Grundlage der Wertung (Ziffer 6). Beschreiben Sie jeweils das methodische Vorgehen sowie Risiken und Herausforderungen und wie Sie ihnen begegnen.</w:t>
      </w:r>
    </w:p>
    <w:p w14:paraId="68C0A164" w14:textId="77777777" w:rsidR="00AD227C" w:rsidRDefault="00000000">
      <w:pPr>
        <w:pStyle w:val="berschrift2"/>
      </w:pPr>
      <w:r>
        <w:t>4.1 Personal- und Teamkonzept</w:t>
      </w:r>
    </w:p>
    <w:p w14:paraId="40FC5A23" w14:textId="77777777" w:rsidR="00AD227C" w:rsidRDefault="00000000">
      <w:pPr>
        <w:spacing w:after="120"/>
      </w:pPr>
      <w:r>
        <w:t>Stellen Sie die Person(en) vor, die das Projekt im Auftragsfall durchführen (Kurzprofil), mit ihren jeweiligen fachlichen Schwerpunkten und Rollen im Projektteam. Beschreiben Sie, wie die durchgehende Verantwortung über alle Phasen (Ziffer 2) personell sichergestellt wird.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D227C" w14:paraId="7F3E964B" w14:textId="77777777">
        <w:tc>
          <w:tcPr>
            <w:tcW w:w="9360" w:type="dxa"/>
            <w:tcBorders>
              <w:top w:val="single" w:sz="2" w:space="0" w:color="CCCCCC"/>
              <w:left w:val="single" w:sz="12" w:space="0" w:color="B01019"/>
              <w:bottom w:val="single" w:sz="2" w:space="0" w:color="CCCCCC"/>
              <w:right w:val="single" w:sz="2" w:space="0" w:color="CCCCCC"/>
            </w:tcBorders>
            <w:shd w:val="clear" w:color="auto" w:fill="F2F2F2"/>
            <w:tcMar>
              <w:top w:w="120" w:type="dxa"/>
              <w:left w:w="160" w:type="dxa"/>
              <w:bottom w:w="120" w:type="dxa"/>
              <w:right w:w="160" w:type="dxa"/>
            </w:tcMar>
          </w:tcPr>
          <w:p w14:paraId="2C1ABE44" w14:textId="77777777" w:rsidR="00AD227C" w:rsidRDefault="00000000">
            <w:pPr>
              <w:spacing w:after="60"/>
            </w:pPr>
            <w:r>
              <w:rPr>
                <w:b/>
                <w:bCs/>
                <w:color w:val="B01019"/>
                <w:sz w:val="18"/>
                <w:szCs w:val="18"/>
              </w:rPr>
              <w:t>Worauf es hier ankommt</w:t>
            </w:r>
          </w:p>
          <w:p w14:paraId="19021078" w14:textId="77777777" w:rsidR="00AD227C" w:rsidRDefault="00000000">
            <w:pPr>
              <w:spacing w:after="60"/>
            </w:pPr>
            <w:r>
              <w:rPr>
                <w:i/>
                <w:iCs/>
                <w:sz w:val="20"/>
                <w:szCs w:val="20"/>
              </w:rPr>
              <w:t>Nicht die Länge der Lebensläufe, sondern die Kontinuität der Verantwortung. Achten Sie darauf, ob dieselbe Person den Bogen von der Ausschreibung bis zur Migration trägt oder ob das Projekt durch wechselnde Hände gereicht wird.</w:t>
            </w:r>
          </w:p>
        </w:tc>
      </w:tr>
    </w:tbl>
    <w:p w14:paraId="1F18BF1F" w14:textId="77777777" w:rsidR="00AD227C" w:rsidRDefault="00000000">
      <w:pPr>
        <w:pStyle w:val="berschrift2"/>
      </w:pPr>
      <w:r>
        <w:t>4.2 Vergabekonzept</w:t>
      </w:r>
    </w:p>
    <w:p w14:paraId="1368D61E" w14:textId="77777777" w:rsidR="00AD227C" w:rsidRDefault="00000000">
      <w:pPr>
        <w:spacing w:after="120"/>
      </w:pPr>
      <w:r>
        <w:t>Beschreiben Sie Ihr empfohlenes Vorgehen für die Vergaben (Ziffer 2.2). Es soll deutlich werden, wie die Leistungen erbracht werden. Gehen Sie insbesondere ein auf:</w:t>
      </w:r>
    </w:p>
    <w:p w14:paraId="37EAE5CF" w14:textId="77777777" w:rsidR="00AD227C" w:rsidRDefault="00000000">
      <w:pPr>
        <w:pStyle w:val="Listenabsatz"/>
        <w:numPr>
          <w:ilvl w:val="0"/>
          <w:numId w:val="2"/>
        </w:numPr>
        <w:spacing w:after="80"/>
      </w:pPr>
      <w:r>
        <w:rPr>
          <w:b/>
          <w:bCs/>
        </w:rPr>
        <w:lastRenderedPageBreak/>
        <w:t xml:space="preserve">Agile Vergabe: </w:t>
      </w:r>
      <w:r>
        <w:t>Wie schreiben Sie eine Leistung aus, deren Umfang bewusst nicht vollständig vorab fixiert ist, ohne die Vergleichbarkeit der Angebote und die Rechtmäßigkeit des Verfahrens zu gefährden?</w:t>
      </w:r>
    </w:p>
    <w:p w14:paraId="497F16C8" w14:textId="77777777" w:rsidR="00AD227C" w:rsidRDefault="00000000">
      <w:pPr>
        <w:pStyle w:val="Listenabsatz"/>
        <w:numPr>
          <w:ilvl w:val="0"/>
          <w:numId w:val="2"/>
        </w:numPr>
        <w:spacing w:after="80"/>
      </w:pPr>
      <w:r>
        <w:rPr>
          <w:b/>
          <w:bCs/>
        </w:rPr>
        <w:t xml:space="preserve">Abgrenzung fachliche Begleitung / Rechtsberatung: </w:t>
      </w:r>
      <w:r>
        <w:t>Uns ist bewusst, dass eine fachliche Begleitung in der Regel keine Rechtsdienstleistung erbringen darf. Beschreiben Sie, wie Sie eine Vergabeunterlage dennoch möglichst nah an vergaberechtliche Belastbarkeit heranführen – insbesondere im Zusammenspiel mit unserer Vergabestelle bzw. unserem Justiziariat und, wo nötig, externer rechtlicher Prüfung. Machen Sie die Arbeitsteilung transparent.</w:t>
      </w:r>
    </w:p>
    <w:p w14:paraId="2B99D5AB" w14:textId="77777777" w:rsidR="00AD227C" w:rsidRDefault="00000000">
      <w:pPr>
        <w:pStyle w:val="Listenabsatz"/>
        <w:numPr>
          <w:ilvl w:val="0"/>
          <w:numId w:val="2"/>
        </w:numPr>
        <w:spacing w:after="80"/>
      </w:pPr>
      <w:r>
        <w:rPr>
          <w:b/>
          <w:bCs/>
        </w:rPr>
        <w:t xml:space="preserve">Risiken: </w:t>
      </w:r>
      <w:r>
        <w:t>Welche Risiken und Herausforderungen sehen Sie im Vergabeverfahren, und wie begegnen Sie ihnen?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D227C" w14:paraId="0B502413" w14:textId="77777777">
        <w:tc>
          <w:tcPr>
            <w:tcW w:w="9360" w:type="dxa"/>
            <w:tcBorders>
              <w:top w:val="single" w:sz="2" w:space="0" w:color="CCCCCC"/>
              <w:left w:val="single" w:sz="12" w:space="0" w:color="B01019"/>
              <w:bottom w:val="single" w:sz="2" w:space="0" w:color="CCCCCC"/>
              <w:right w:val="single" w:sz="2" w:space="0" w:color="CCCCCC"/>
            </w:tcBorders>
            <w:shd w:val="clear" w:color="auto" w:fill="F2F2F2"/>
            <w:tcMar>
              <w:top w:w="120" w:type="dxa"/>
              <w:left w:w="160" w:type="dxa"/>
              <w:bottom w:w="120" w:type="dxa"/>
              <w:right w:w="160" w:type="dxa"/>
            </w:tcMar>
          </w:tcPr>
          <w:p w14:paraId="47A6C0E3" w14:textId="77777777" w:rsidR="00AD227C" w:rsidRDefault="00000000">
            <w:pPr>
              <w:spacing w:after="60"/>
            </w:pPr>
            <w:r>
              <w:rPr>
                <w:b/>
                <w:bCs/>
                <w:color w:val="B01019"/>
                <w:sz w:val="18"/>
                <w:szCs w:val="18"/>
              </w:rPr>
              <w:t>Der ehrliche Umgang mit „rechtssicher“</w:t>
            </w:r>
          </w:p>
          <w:p w14:paraId="63428E0B" w14:textId="77777777" w:rsidR="00AD227C" w:rsidRDefault="00000000">
            <w:pPr>
              <w:spacing w:after="60"/>
            </w:pPr>
            <w:r>
              <w:rPr>
                <w:i/>
                <w:iCs/>
                <w:sz w:val="20"/>
                <w:szCs w:val="20"/>
              </w:rPr>
              <w:t>Seien Sie vorsichtig bei Angeboten, die eine „rechtssichere Vergabe“ pauschal versprechen. Rechtssicherheit im engeren Sinne setzt eine juristische Prüfung voraus, die ein nicht-anwaltlicher Begleiter nach dem Rechtsdienstleistungsgesetz gar nicht leisten darf. Das seriöse Angebot beschreibt eine klare Arbeitsteilung zwischen fachlicher Vorbereitung und rechtlicher Prüfung – nicht ein Versprechen, das es nicht halten kann.</w:t>
            </w:r>
          </w:p>
        </w:tc>
      </w:tr>
    </w:tbl>
    <w:p w14:paraId="1C84ABD8" w14:textId="77777777" w:rsidR="00AD227C" w:rsidRDefault="00000000">
      <w:pPr>
        <w:pStyle w:val="berschrift2"/>
      </w:pPr>
      <w:r>
        <w:t>4.3 Konzept Zusammenarbeit und Umsetzungsbegleitung</w:t>
      </w:r>
    </w:p>
    <w:p w14:paraId="28C14720" w14:textId="11D9807B" w:rsidR="00AD227C" w:rsidRDefault="00000000">
      <w:pPr>
        <w:spacing w:after="120"/>
      </w:pPr>
      <w:r>
        <w:t>Beschreiben Sie, wie Sie in der Umsetzungsphase (Ziffer 2.3) als fachliches Gegenüber der Projektleitung der Auftraggeberin arbeiten. Im Mittelpunkt steht die Stärkung der auftraggeberseitigen Rolle Product Owner bzw. Projektleitung – insbesondere im Requirements Engineering, sowie in der Zusammenarbeit mit den Stakeholdern und mit der beauftragten Agentur. Nicht immer bringt die Person, die diese Projektleitung für die Auftraggeberin übernimmt, bereits Erfahrung in der Begleitung von Relaunch-Projekten mit; hier geht es um Begleitung, Beratung und Sparring, die zusätzliche Sicherheit im Prozess geben.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D227C" w14:paraId="11F7A77E" w14:textId="77777777">
        <w:tc>
          <w:tcPr>
            <w:tcW w:w="9360" w:type="dxa"/>
            <w:tcBorders>
              <w:top w:val="single" w:sz="2" w:space="0" w:color="CCCCCC"/>
              <w:left w:val="single" w:sz="12" w:space="0" w:color="B01019"/>
              <w:bottom w:val="single" w:sz="2" w:space="0" w:color="CCCCCC"/>
              <w:right w:val="single" w:sz="2" w:space="0" w:color="CCCCCC"/>
            </w:tcBorders>
            <w:shd w:val="clear" w:color="auto" w:fill="F2F2F2"/>
            <w:tcMar>
              <w:top w:w="120" w:type="dxa"/>
              <w:left w:w="160" w:type="dxa"/>
              <w:bottom w:w="120" w:type="dxa"/>
              <w:right w:w="160" w:type="dxa"/>
            </w:tcMar>
          </w:tcPr>
          <w:p w14:paraId="19D25F4F" w14:textId="77777777" w:rsidR="00AD227C" w:rsidRDefault="00000000">
            <w:pPr>
              <w:spacing w:after="60"/>
            </w:pPr>
            <w:r>
              <w:rPr>
                <w:b/>
                <w:bCs/>
                <w:color w:val="B01019"/>
                <w:sz w:val="18"/>
                <w:szCs w:val="18"/>
              </w:rPr>
              <w:t>Worauf es hier ankommt</w:t>
            </w:r>
          </w:p>
          <w:p w14:paraId="0FE2FC59" w14:textId="6022A1B5" w:rsidR="00AD227C" w:rsidRDefault="00000000" w:rsidP="00FB3851">
            <w:pPr>
              <w:spacing w:after="60"/>
            </w:pPr>
            <w:r>
              <w:rPr>
                <w:i/>
                <w:iCs/>
                <w:sz w:val="20"/>
                <w:szCs w:val="20"/>
              </w:rPr>
              <w:t>Dreh- und Angelpunkt eines Relaunches ist die auftraggeberseitige Rolle Product Owner bzw. Projektleitung: Sie übersetzt zwischen Hochschule und Agentur, priorisiert Anforderungen und hält die Stakeholder zusammen. Ist diese Rolle im Requirements Engineering und im Stakeholder-Management gut gestützt, trägt das Projekt; ist sie es nicht, wackelt es – unabhängig von der Qualität der Agentur.</w:t>
            </w:r>
          </w:p>
        </w:tc>
      </w:tr>
    </w:tbl>
    <w:p w14:paraId="64E15959" w14:textId="77777777" w:rsidR="00AD227C" w:rsidRDefault="00000000">
      <w:pPr>
        <w:pStyle w:val="berschrift2"/>
      </w:pPr>
      <w:r>
        <w:t>4.4 Migrationskonzept</w:t>
      </w:r>
    </w:p>
    <w:p w14:paraId="342D9D99" w14:textId="77777777" w:rsidR="00AD227C" w:rsidRDefault="00000000">
      <w:pPr>
        <w:spacing w:after="120"/>
      </w:pPr>
      <w:r>
        <w:t>Beschreiben Sie, wie ein Migrationskonzept für die Auftraggeberin aussehen könnte und wie die Leistungen erbracht werden. Gehen Sie ein auf:</w:t>
      </w:r>
    </w:p>
    <w:p w14:paraId="5503D07F" w14:textId="77777777" w:rsidR="00AD227C" w:rsidRDefault="00000000">
      <w:pPr>
        <w:pStyle w:val="Listenabsatz"/>
        <w:numPr>
          <w:ilvl w:val="0"/>
          <w:numId w:val="2"/>
        </w:numPr>
        <w:spacing w:after="80"/>
      </w:pPr>
      <w:r>
        <w:t>Das methodische Vorgehen und die organisatorische Seite der Migration (Inhalte, Redaktion, Zuständigkeiten), nicht nur die technische.</w:t>
      </w:r>
    </w:p>
    <w:p w14:paraId="0E6270C8" w14:textId="77777777" w:rsidR="00AD227C" w:rsidRDefault="00000000">
      <w:pPr>
        <w:pStyle w:val="Listenabsatz"/>
        <w:numPr>
          <w:ilvl w:val="0"/>
          <w:numId w:val="2"/>
        </w:numPr>
        <w:spacing w:after="80"/>
      </w:pPr>
      <w:r>
        <w:t>Die Voraussetzungen, die gegeben sein müssen, um die Migration in angemessener Zeit durchzuführen.</w:t>
      </w:r>
    </w:p>
    <w:p w14:paraId="718D578F" w14:textId="77777777" w:rsidR="00AD227C" w:rsidRDefault="00000000">
      <w:pPr>
        <w:pStyle w:val="Listenabsatz"/>
        <w:numPr>
          <w:ilvl w:val="0"/>
          <w:numId w:val="2"/>
        </w:numPr>
        <w:spacing w:after="80"/>
      </w:pPr>
      <w:r>
        <w:t>Die Perspektive über den Go-Live hinaus (Betrieb, Pflege, kontinuierliche Weiterentwicklung).</w:t>
      </w:r>
    </w:p>
    <w:p w14:paraId="5664FDE9" w14:textId="77777777" w:rsidR="00AD227C" w:rsidRDefault="00000000">
      <w:pPr>
        <w:pStyle w:val="Listenabsatz"/>
        <w:numPr>
          <w:ilvl w:val="0"/>
          <w:numId w:val="2"/>
        </w:numPr>
        <w:spacing w:after="80"/>
      </w:pPr>
      <w:r>
        <w:t>Risiken und Herausforderungen und wie Sie ihnen begegnen.</w:t>
      </w:r>
    </w:p>
    <w:p w14:paraId="7B6DC24F" w14:textId="77777777" w:rsidR="00AD227C" w:rsidRDefault="00000000">
      <w:pPr>
        <w:pStyle w:val="berschrift2"/>
      </w:pPr>
      <w:r>
        <w:t>4.5 Kostenplan</w:t>
      </w:r>
    </w:p>
    <w:p w14:paraId="3CC45BC4" w14:textId="77777777" w:rsidR="00AD227C" w:rsidRDefault="00000000">
      <w:pPr>
        <w:spacing w:after="120"/>
      </w:pPr>
      <w:r>
        <w:lastRenderedPageBreak/>
        <w:t>Der Kostenplan ist differenziert nach den Leistungsphasen aufzuschlüsseln: Analyse (2.1), Vergaben (2.2), Begleitung der Umsetzung (2.3) und Begleitung der Migration (2.4).</w:t>
      </w:r>
    </w:p>
    <w:p w14:paraId="54014CD6" w14:textId="77777777" w:rsidR="00AD227C" w:rsidRDefault="00AD227C">
      <w:pPr>
        <w:pBdr>
          <w:bottom w:val="single" w:sz="6" w:space="1" w:color="999999"/>
        </w:pBdr>
        <w:spacing w:before="120" w:after="120"/>
      </w:pPr>
    </w:p>
    <w:p w14:paraId="50ED9764" w14:textId="77777777" w:rsidR="00AD227C" w:rsidRDefault="00000000">
      <w:pPr>
        <w:pStyle w:val="berschrift1"/>
      </w:pPr>
      <w:r>
        <w:t>5. Wertung der Angebote</w:t>
      </w:r>
    </w:p>
    <w:p w14:paraId="45D5B583" w14:textId="77777777" w:rsidR="00AD227C" w:rsidRDefault="00000000">
      <w:pPr>
        <w:spacing w:after="120"/>
      </w:pPr>
      <w:r>
        <w:t>Das wirtschaftlichste Angebot wird anhand des besten Preis-Leistungs-Verhältnisses ermittelt. Die inhaltlichen Kriterien betreffen die Qualität der unter Ziffer 4 eingereichten Konzepte; Eignung (Ziffer 3) ist nicht Teil dieser Wertung.</w:t>
      </w:r>
    </w:p>
    <w:p w14:paraId="32A148CB" w14:textId="77777777" w:rsidR="00AD227C" w:rsidRDefault="00AD227C">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60"/>
        <w:gridCol w:w="2000"/>
      </w:tblGrid>
      <w:tr w:rsidR="00AD227C" w14:paraId="61630B34" w14:textId="77777777">
        <w:tc>
          <w:tcPr>
            <w:tcW w:w="7360" w:type="dxa"/>
            <w:tcBorders>
              <w:top w:val="single" w:sz="1" w:space="0" w:color="CCCCCC"/>
              <w:left w:val="single" w:sz="1" w:space="0" w:color="CCCCCC"/>
              <w:bottom w:val="single" w:sz="1" w:space="0" w:color="CCCCCC"/>
              <w:right w:val="single" w:sz="1" w:space="0" w:color="CCCCCC"/>
            </w:tcBorders>
            <w:shd w:val="clear" w:color="auto" w:fill="E8E8E8"/>
            <w:tcMar>
              <w:top w:w="80" w:type="dxa"/>
              <w:left w:w="120" w:type="dxa"/>
              <w:bottom w:w="80" w:type="dxa"/>
              <w:right w:w="120" w:type="dxa"/>
            </w:tcMar>
          </w:tcPr>
          <w:p w14:paraId="7072644B" w14:textId="77777777" w:rsidR="00AD227C" w:rsidRDefault="00000000">
            <w:r>
              <w:rPr>
                <w:b/>
                <w:bCs/>
              </w:rPr>
              <w:t>Zuschlagskriterium</w:t>
            </w:r>
          </w:p>
        </w:tc>
        <w:tc>
          <w:tcPr>
            <w:tcW w:w="2000" w:type="dxa"/>
            <w:tcBorders>
              <w:top w:val="single" w:sz="1" w:space="0" w:color="CCCCCC"/>
              <w:left w:val="single" w:sz="1" w:space="0" w:color="CCCCCC"/>
              <w:bottom w:val="single" w:sz="1" w:space="0" w:color="CCCCCC"/>
              <w:right w:val="single" w:sz="1" w:space="0" w:color="CCCCCC"/>
            </w:tcBorders>
            <w:shd w:val="clear" w:color="auto" w:fill="E8E8E8"/>
            <w:tcMar>
              <w:top w:w="80" w:type="dxa"/>
              <w:left w:w="120" w:type="dxa"/>
              <w:bottom w:w="80" w:type="dxa"/>
              <w:right w:w="120" w:type="dxa"/>
            </w:tcMar>
          </w:tcPr>
          <w:p w14:paraId="6F7E7533" w14:textId="77777777" w:rsidR="00AD227C" w:rsidRDefault="00000000">
            <w:pPr>
              <w:jc w:val="right"/>
            </w:pPr>
            <w:r>
              <w:rPr>
                <w:b/>
                <w:bCs/>
              </w:rPr>
              <w:t>Gewicht</w:t>
            </w:r>
          </w:p>
        </w:tc>
      </w:tr>
      <w:tr w:rsidR="00AD227C" w14:paraId="6E77925C" w14:textId="77777777">
        <w:tc>
          <w:tcPr>
            <w:tcW w:w="7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FB1B677" w14:textId="77777777" w:rsidR="00AD227C" w:rsidRDefault="00000000">
            <w:r>
              <w:t>Personal- und Teamkonzept (4.1)</w:t>
            </w:r>
          </w:p>
        </w:tc>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FB1AE46" w14:textId="77777777" w:rsidR="00AD227C" w:rsidRDefault="00000000">
            <w:pPr>
              <w:jc w:val="right"/>
            </w:pPr>
            <w:r>
              <w:t>25 %</w:t>
            </w:r>
          </w:p>
        </w:tc>
      </w:tr>
      <w:tr w:rsidR="00AD227C" w14:paraId="710533CF" w14:textId="77777777">
        <w:tc>
          <w:tcPr>
            <w:tcW w:w="7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C36D8F1" w14:textId="77777777" w:rsidR="00AD227C" w:rsidRDefault="00000000">
            <w:r>
              <w:t>Vergabekonzept (4.2)</w:t>
            </w:r>
          </w:p>
        </w:tc>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F2D899D" w14:textId="77777777" w:rsidR="00AD227C" w:rsidRDefault="00000000">
            <w:pPr>
              <w:jc w:val="right"/>
            </w:pPr>
            <w:r>
              <w:t>20 %</w:t>
            </w:r>
          </w:p>
        </w:tc>
      </w:tr>
      <w:tr w:rsidR="00AD227C" w14:paraId="2DF03EC4" w14:textId="77777777">
        <w:tc>
          <w:tcPr>
            <w:tcW w:w="7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FA17BFD" w14:textId="77777777" w:rsidR="00AD227C" w:rsidRDefault="00000000">
            <w:r>
              <w:t>Konzept Zusammenarbeit und Umsetzungsbegleitung (4.3)</w:t>
            </w:r>
          </w:p>
        </w:tc>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11E996A" w14:textId="77777777" w:rsidR="00AD227C" w:rsidRDefault="00000000">
            <w:pPr>
              <w:jc w:val="right"/>
            </w:pPr>
            <w:r>
              <w:t>5 %</w:t>
            </w:r>
          </w:p>
        </w:tc>
      </w:tr>
      <w:tr w:rsidR="00AD227C" w14:paraId="01D9A822" w14:textId="77777777">
        <w:tc>
          <w:tcPr>
            <w:tcW w:w="7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4A4B513" w14:textId="77777777" w:rsidR="00AD227C" w:rsidRDefault="00000000">
            <w:r>
              <w:t>Migrationskonzept (4.4)</w:t>
            </w:r>
          </w:p>
        </w:tc>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DC38BDE" w14:textId="77777777" w:rsidR="00AD227C" w:rsidRDefault="00000000">
            <w:pPr>
              <w:jc w:val="right"/>
            </w:pPr>
            <w:r>
              <w:t>20 %</w:t>
            </w:r>
          </w:p>
        </w:tc>
      </w:tr>
      <w:tr w:rsidR="00AD227C" w14:paraId="4F18F4BA" w14:textId="77777777">
        <w:tc>
          <w:tcPr>
            <w:tcW w:w="7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613C3CC" w14:textId="77777777" w:rsidR="00AD227C" w:rsidRDefault="00000000">
            <w:r>
              <w:t>Preis (4.5)</w:t>
            </w:r>
          </w:p>
        </w:tc>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F4B195E" w14:textId="77777777" w:rsidR="00AD227C" w:rsidRDefault="00000000">
            <w:pPr>
              <w:jc w:val="right"/>
            </w:pPr>
            <w:r>
              <w:t>30 %</w:t>
            </w:r>
          </w:p>
        </w:tc>
      </w:tr>
      <w:tr w:rsidR="00AD227C" w14:paraId="1A67008B" w14:textId="77777777">
        <w:tc>
          <w:tcPr>
            <w:tcW w:w="7360" w:type="dxa"/>
            <w:tcBorders>
              <w:top w:val="single" w:sz="1" w:space="0" w:color="CCCCCC"/>
              <w:left w:val="single" w:sz="1" w:space="0" w:color="CCCCCC"/>
              <w:bottom w:val="single" w:sz="1" w:space="0" w:color="CCCCCC"/>
              <w:right w:val="single" w:sz="1" w:space="0" w:color="CCCCCC"/>
            </w:tcBorders>
            <w:shd w:val="clear" w:color="auto" w:fill="E8E8E8"/>
            <w:tcMar>
              <w:top w:w="80" w:type="dxa"/>
              <w:left w:w="120" w:type="dxa"/>
              <w:bottom w:w="80" w:type="dxa"/>
              <w:right w:w="120" w:type="dxa"/>
            </w:tcMar>
          </w:tcPr>
          <w:p w14:paraId="0B716BA6" w14:textId="77777777" w:rsidR="00AD227C" w:rsidRDefault="00000000">
            <w:r>
              <w:rPr>
                <w:b/>
                <w:bCs/>
              </w:rPr>
              <w:t>Summe</w:t>
            </w:r>
          </w:p>
        </w:tc>
        <w:tc>
          <w:tcPr>
            <w:tcW w:w="2000" w:type="dxa"/>
            <w:tcBorders>
              <w:top w:val="single" w:sz="1" w:space="0" w:color="CCCCCC"/>
              <w:left w:val="single" w:sz="1" w:space="0" w:color="CCCCCC"/>
              <w:bottom w:val="single" w:sz="1" w:space="0" w:color="CCCCCC"/>
              <w:right w:val="single" w:sz="1" w:space="0" w:color="CCCCCC"/>
            </w:tcBorders>
            <w:shd w:val="clear" w:color="auto" w:fill="E8E8E8"/>
            <w:tcMar>
              <w:top w:w="80" w:type="dxa"/>
              <w:left w:w="120" w:type="dxa"/>
              <w:bottom w:w="80" w:type="dxa"/>
              <w:right w:w="120" w:type="dxa"/>
            </w:tcMar>
          </w:tcPr>
          <w:p w14:paraId="193B7E3F" w14:textId="77777777" w:rsidR="00AD227C" w:rsidRDefault="00000000">
            <w:pPr>
              <w:jc w:val="right"/>
            </w:pPr>
            <w:r>
              <w:rPr>
                <w:b/>
                <w:bCs/>
              </w:rPr>
              <w:t>100 %</w:t>
            </w:r>
          </w:p>
        </w:tc>
      </w:tr>
    </w:tbl>
    <w:p w14:paraId="7C8C9D2C" w14:textId="77777777" w:rsidR="00AD227C" w:rsidRDefault="00AD227C">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D227C" w14:paraId="6F78FF4C" w14:textId="77777777">
        <w:tc>
          <w:tcPr>
            <w:tcW w:w="9360" w:type="dxa"/>
            <w:tcBorders>
              <w:top w:val="single" w:sz="2" w:space="0" w:color="CCCCCC"/>
              <w:left w:val="single" w:sz="12" w:space="0" w:color="B01019"/>
              <w:bottom w:val="single" w:sz="2" w:space="0" w:color="CCCCCC"/>
              <w:right w:val="single" w:sz="2" w:space="0" w:color="CCCCCC"/>
            </w:tcBorders>
            <w:shd w:val="clear" w:color="auto" w:fill="F2F2F2"/>
            <w:tcMar>
              <w:top w:w="120" w:type="dxa"/>
              <w:left w:w="160" w:type="dxa"/>
              <w:bottom w:w="120" w:type="dxa"/>
              <w:right w:w="160" w:type="dxa"/>
            </w:tcMar>
          </w:tcPr>
          <w:p w14:paraId="3976A888" w14:textId="77777777" w:rsidR="00AD227C" w:rsidRDefault="00000000">
            <w:pPr>
              <w:spacing w:after="60"/>
            </w:pPr>
            <w:r>
              <w:rPr>
                <w:b/>
                <w:bCs/>
                <w:color w:val="B01019"/>
                <w:sz w:val="18"/>
                <w:szCs w:val="18"/>
              </w:rPr>
              <w:t>Zur Gewichtung</w:t>
            </w:r>
          </w:p>
          <w:p w14:paraId="72C0F4B7" w14:textId="1E72A115" w:rsidR="00AD227C" w:rsidRDefault="00000000" w:rsidP="00FB3851">
            <w:pPr>
              <w:spacing w:after="60"/>
            </w:pPr>
            <w:r>
              <w:rPr>
                <w:i/>
                <w:iCs/>
                <w:sz w:val="20"/>
                <w:szCs w:val="20"/>
              </w:rPr>
              <w:t xml:space="preserve">Die Gewichtung ist anpassbar; die Qualität sollte jedoch deutlich schwerer wiegen als der Preis. Der Wert einer Begleitleistung liegt fast vollständig in ihrer fachlichen Qualität – Fehler in Vergabe und Migration kosten schnell ein Vielfaches des Beratungshonorars. </w:t>
            </w:r>
            <w:r>
              <w:rPr>
                <w:i/>
                <w:iCs/>
                <w:sz w:val="20"/>
                <w:szCs w:val="20"/>
              </w:rPr>
              <w:br/>
              <w:t>Zwei Grundsätze sollten Sie halten: Jedes Kriterium muss objektiv und nachvollziehbar bewertbar sein (sonst ist die Wertung angreifbar), und Eignungsmerkmale (Referenzen, Qualifikation) gehören nicht in diese Tabelle, sondern unter Ziffer 3.</w:t>
            </w:r>
          </w:p>
        </w:tc>
      </w:tr>
    </w:tbl>
    <w:p w14:paraId="0FE6F954" w14:textId="77777777" w:rsidR="00AD227C" w:rsidRDefault="00AD227C">
      <w:pPr>
        <w:pBdr>
          <w:bottom w:val="single" w:sz="6" w:space="1" w:color="999999"/>
        </w:pBdr>
        <w:spacing w:before="120"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D227C" w14:paraId="1D10E30F" w14:textId="77777777">
        <w:tc>
          <w:tcPr>
            <w:tcW w:w="9360" w:type="dxa"/>
            <w:tcBorders>
              <w:top w:val="single" w:sz="2" w:space="0" w:color="CCCCCC"/>
              <w:left w:val="single" w:sz="12" w:space="0" w:color="B01019"/>
              <w:bottom w:val="single" w:sz="2" w:space="0" w:color="CCCCCC"/>
              <w:right w:val="single" w:sz="2" w:space="0" w:color="CCCCCC"/>
            </w:tcBorders>
            <w:shd w:val="clear" w:color="auto" w:fill="F2F2F2"/>
            <w:tcMar>
              <w:top w:w="120" w:type="dxa"/>
              <w:left w:w="160" w:type="dxa"/>
              <w:bottom w:w="120" w:type="dxa"/>
              <w:right w:w="160" w:type="dxa"/>
            </w:tcMar>
          </w:tcPr>
          <w:p w14:paraId="2AF7C297" w14:textId="77777777" w:rsidR="00AD227C" w:rsidRDefault="00000000">
            <w:pPr>
              <w:spacing w:after="60"/>
            </w:pPr>
            <w:r>
              <w:rPr>
                <w:b/>
                <w:bCs/>
                <w:color w:val="B01019"/>
                <w:sz w:val="18"/>
                <w:szCs w:val="18"/>
              </w:rPr>
              <w:t>Vor der Veröffentlichung</w:t>
            </w:r>
          </w:p>
          <w:p w14:paraId="7DF0E1BC" w14:textId="77777777" w:rsidR="00AD227C" w:rsidRDefault="00000000">
            <w:pPr>
              <w:spacing w:after="60"/>
            </w:pPr>
            <w:r>
              <w:rPr>
                <w:i/>
                <w:iCs/>
                <w:sz w:val="20"/>
                <w:szCs w:val="20"/>
              </w:rPr>
              <w:t>Diese Vorlage ist eine fachliche Orientierungshilfe, keine Rechtsberatung. Lassen Sie die konkretisierte Vergabeunterlage – insbesondere Verfahrensart, Fristen, Eignungs- und Wertungssystematik – durch Ihre Vergabestelle bzw. Ihr Justiziariat prüfen, bevor Sie sie bekannt machen.</w:t>
            </w:r>
          </w:p>
        </w:tc>
      </w:tr>
    </w:tbl>
    <w:p w14:paraId="2BE3705F" w14:textId="77777777" w:rsidR="00FF14CC" w:rsidRDefault="00FF14CC"/>
    <w:sectPr w:rsidR="00FF14C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3B6D5F" w14:textId="77777777" w:rsidR="00CA65CB" w:rsidRDefault="00CA65CB">
      <w:r>
        <w:separator/>
      </w:r>
    </w:p>
  </w:endnote>
  <w:endnote w:type="continuationSeparator" w:id="0">
    <w:p w14:paraId="17CD959E" w14:textId="77777777" w:rsidR="00CA65CB" w:rsidRDefault="00CA6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2C3023" w14:textId="77777777" w:rsidR="007E0E16" w:rsidRDefault="007E0E1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0054AB" w14:textId="4629920B" w:rsidR="00AD227C" w:rsidRDefault="00000000">
    <w:pPr>
      <w:pBdr>
        <w:top w:val="single" w:sz="4" w:space="4" w:color="CCCCCC"/>
      </w:pBdr>
      <w:tabs>
        <w:tab w:val="right" w:pos="9360"/>
      </w:tabs>
    </w:pPr>
    <w:r>
      <w:rPr>
        <w:color w:val="888888"/>
        <w:sz w:val="16"/>
        <w:szCs w:val="16"/>
      </w:rPr>
      <w:t xml:space="preserve">Muster zur Orientierung – keine Rechtsberatung. </w:t>
    </w:r>
    <w:r>
      <w:rPr>
        <w:color w:val="888888"/>
        <w:sz w:val="16"/>
        <w:szCs w:val="16"/>
      </w:rPr>
      <w:t>Herausgeberin:</w:t>
    </w:r>
    <w:r w:rsidR="007E0E16">
      <w:rPr>
        <w:color w:val="888888"/>
        <w:sz w:val="16"/>
        <w:szCs w:val="16"/>
      </w:rPr>
      <w:t xml:space="preserve"> </w:t>
    </w:r>
    <w:proofErr w:type="spellStart"/>
    <w:r w:rsidR="007E0E16">
      <w:rPr>
        <w:color w:val="888888"/>
        <w:sz w:val="16"/>
        <w:szCs w:val="16"/>
      </w:rPr>
      <w:t>Alinbu</w:t>
    </w:r>
    <w:proofErr w:type="spellEnd"/>
    <w:r w:rsidR="007E0E16">
      <w:rPr>
        <w:color w:val="888888"/>
        <w:sz w:val="16"/>
        <w:szCs w:val="16"/>
      </w:rPr>
      <w:t xml:space="preserve"> Public – Peter Pröll</w:t>
    </w:r>
    <w:r>
      <w:rPr>
        <w:color w:val="888888"/>
        <w:sz w:val="16"/>
        <w:szCs w:val="16"/>
      </w:rPr>
      <w:tab/>
      <w:t xml:space="preserve">Seite </w:t>
    </w:r>
    <w:r>
      <w:rPr>
        <w:color w:val="888888"/>
        <w:sz w:val="16"/>
        <w:szCs w:val="16"/>
      </w:rPr>
      <w:fldChar w:fldCharType="begin"/>
    </w:r>
    <w:r>
      <w:rPr>
        <w:color w:val="888888"/>
        <w:sz w:val="16"/>
        <w:szCs w:val="16"/>
      </w:rPr>
      <w:instrText>PAGE</w:instrText>
    </w:r>
    <w:r>
      <w:rPr>
        <w:color w:val="888888"/>
        <w:sz w:val="16"/>
        <w:szCs w:val="16"/>
      </w:rPr>
      <w:fldChar w:fldCharType="separate"/>
    </w:r>
    <w:r w:rsidR="007E1CA2">
      <w:rPr>
        <w:noProof/>
        <w:color w:val="888888"/>
        <w:sz w:val="16"/>
        <w:szCs w:val="16"/>
      </w:rPr>
      <w:t>1</w:t>
    </w:r>
    <w:r>
      <w:rPr>
        <w:color w:val="888888"/>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291986" w14:textId="77777777" w:rsidR="007E0E16" w:rsidRDefault="007E0E1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85DE08" w14:textId="77777777" w:rsidR="00CA65CB" w:rsidRDefault="00CA65CB">
      <w:r>
        <w:separator/>
      </w:r>
    </w:p>
  </w:footnote>
  <w:footnote w:type="continuationSeparator" w:id="0">
    <w:p w14:paraId="38430A90" w14:textId="77777777" w:rsidR="00CA65CB" w:rsidRDefault="00CA65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9454AC" w14:textId="77777777" w:rsidR="007E0E16" w:rsidRDefault="007E0E1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A02735" w14:textId="77777777" w:rsidR="007E0E16" w:rsidRDefault="007E0E1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251246" w14:textId="77777777" w:rsidR="007E0E16" w:rsidRDefault="007E0E1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FD13D6"/>
    <w:multiLevelType w:val="hybridMultilevel"/>
    <w:tmpl w:val="73A4D75E"/>
    <w:lvl w:ilvl="0" w:tplc="EA4AD408">
      <w:start w:val="1"/>
      <w:numFmt w:val="bullet"/>
      <w:lvlText w:val="●"/>
      <w:lvlJc w:val="left"/>
      <w:pPr>
        <w:ind w:left="720" w:hanging="360"/>
      </w:pPr>
    </w:lvl>
    <w:lvl w:ilvl="1" w:tplc="E020ED96">
      <w:start w:val="1"/>
      <w:numFmt w:val="bullet"/>
      <w:lvlText w:val="○"/>
      <w:lvlJc w:val="left"/>
      <w:pPr>
        <w:ind w:left="1440" w:hanging="360"/>
      </w:pPr>
    </w:lvl>
    <w:lvl w:ilvl="2" w:tplc="5D505420">
      <w:start w:val="1"/>
      <w:numFmt w:val="bullet"/>
      <w:lvlText w:val="■"/>
      <w:lvlJc w:val="left"/>
      <w:pPr>
        <w:ind w:left="2160" w:hanging="360"/>
      </w:pPr>
    </w:lvl>
    <w:lvl w:ilvl="3" w:tplc="E6C258E6">
      <w:start w:val="1"/>
      <w:numFmt w:val="bullet"/>
      <w:lvlText w:val="●"/>
      <w:lvlJc w:val="left"/>
      <w:pPr>
        <w:ind w:left="2880" w:hanging="360"/>
      </w:pPr>
    </w:lvl>
    <w:lvl w:ilvl="4" w:tplc="DAEC193A">
      <w:start w:val="1"/>
      <w:numFmt w:val="bullet"/>
      <w:lvlText w:val="○"/>
      <w:lvlJc w:val="left"/>
      <w:pPr>
        <w:ind w:left="3600" w:hanging="360"/>
      </w:pPr>
    </w:lvl>
    <w:lvl w:ilvl="5" w:tplc="1AEC4110">
      <w:start w:val="1"/>
      <w:numFmt w:val="bullet"/>
      <w:lvlText w:val="■"/>
      <w:lvlJc w:val="left"/>
      <w:pPr>
        <w:ind w:left="4320" w:hanging="360"/>
      </w:pPr>
    </w:lvl>
    <w:lvl w:ilvl="6" w:tplc="869EDBDC">
      <w:start w:val="1"/>
      <w:numFmt w:val="bullet"/>
      <w:lvlText w:val="●"/>
      <w:lvlJc w:val="left"/>
      <w:pPr>
        <w:ind w:left="5040" w:hanging="360"/>
      </w:pPr>
    </w:lvl>
    <w:lvl w:ilvl="7" w:tplc="185E107E">
      <w:start w:val="1"/>
      <w:numFmt w:val="bullet"/>
      <w:lvlText w:val="●"/>
      <w:lvlJc w:val="left"/>
      <w:pPr>
        <w:ind w:left="5760" w:hanging="360"/>
      </w:pPr>
    </w:lvl>
    <w:lvl w:ilvl="8" w:tplc="21729018">
      <w:start w:val="1"/>
      <w:numFmt w:val="bullet"/>
      <w:lvlText w:val="●"/>
      <w:lvlJc w:val="left"/>
      <w:pPr>
        <w:ind w:left="6480" w:hanging="360"/>
      </w:pPr>
    </w:lvl>
  </w:abstractNum>
  <w:abstractNum w:abstractNumId="1" w15:restartNumberingAfterBreak="0">
    <w:nsid w:val="5D1F39F9"/>
    <w:multiLevelType w:val="hybridMultilevel"/>
    <w:tmpl w:val="6BF4C636"/>
    <w:lvl w:ilvl="0" w:tplc="839C7B2E">
      <w:start w:val="1"/>
      <w:numFmt w:val="bullet"/>
      <w:lvlText w:val="–"/>
      <w:lvlJc w:val="left"/>
      <w:pPr>
        <w:ind w:left="500" w:hanging="260"/>
      </w:pPr>
    </w:lvl>
    <w:lvl w:ilvl="1" w:tplc="2116A486">
      <w:start w:val="1"/>
      <w:numFmt w:val="bullet"/>
      <w:lvlText w:val="·"/>
      <w:lvlJc w:val="left"/>
      <w:pPr>
        <w:ind w:left="900" w:hanging="260"/>
      </w:pPr>
    </w:lvl>
    <w:lvl w:ilvl="2" w:tplc="42AC397E">
      <w:numFmt w:val="decimal"/>
      <w:lvlText w:val=""/>
      <w:lvlJc w:val="left"/>
    </w:lvl>
    <w:lvl w:ilvl="3" w:tplc="126E4598">
      <w:numFmt w:val="decimal"/>
      <w:lvlText w:val=""/>
      <w:lvlJc w:val="left"/>
    </w:lvl>
    <w:lvl w:ilvl="4" w:tplc="5A0CD698">
      <w:numFmt w:val="decimal"/>
      <w:lvlText w:val=""/>
      <w:lvlJc w:val="left"/>
    </w:lvl>
    <w:lvl w:ilvl="5" w:tplc="39B2DC88">
      <w:numFmt w:val="decimal"/>
      <w:lvlText w:val=""/>
      <w:lvlJc w:val="left"/>
    </w:lvl>
    <w:lvl w:ilvl="6" w:tplc="CF800644">
      <w:numFmt w:val="decimal"/>
      <w:lvlText w:val=""/>
      <w:lvlJc w:val="left"/>
    </w:lvl>
    <w:lvl w:ilvl="7" w:tplc="CDB89702">
      <w:numFmt w:val="decimal"/>
      <w:lvlText w:val=""/>
      <w:lvlJc w:val="left"/>
    </w:lvl>
    <w:lvl w:ilvl="8" w:tplc="A69632AE">
      <w:numFmt w:val="decimal"/>
      <w:lvlText w:val=""/>
      <w:lvlJc w:val="left"/>
    </w:lvl>
  </w:abstractNum>
  <w:num w:numId="1" w16cid:durableId="1043990509">
    <w:abstractNumId w:val="0"/>
    <w:lvlOverride w:ilvl="0">
      <w:startOverride w:val="1"/>
    </w:lvlOverride>
  </w:num>
  <w:num w:numId="2" w16cid:durableId="2097751057">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27C"/>
    <w:rsid w:val="00492EEE"/>
    <w:rsid w:val="007E0E16"/>
    <w:rsid w:val="007E1CA2"/>
    <w:rsid w:val="00872D5F"/>
    <w:rsid w:val="00AD227C"/>
    <w:rsid w:val="00CA65CB"/>
    <w:rsid w:val="00D15863"/>
    <w:rsid w:val="00DF325C"/>
    <w:rsid w:val="00FB3851"/>
    <w:rsid w:val="00FF14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39A166FE"/>
  <w15:docId w15:val="{DDE90B2E-3889-534E-8D18-2CB6068C8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spacing w:before="240" w:after="140"/>
      <w:outlineLvl w:val="0"/>
    </w:pPr>
    <w:rPr>
      <w:b/>
      <w:bCs/>
      <w:color w:val="111111"/>
      <w:sz w:val="28"/>
      <w:szCs w:val="28"/>
    </w:rPr>
  </w:style>
  <w:style w:type="paragraph" w:styleId="berschrift2">
    <w:name w:val="heading 2"/>
    <w:uiPriority w:val="9"/>
    <w:unhideWhenUsed/>
    <w:qFormat/>
    <w:pPr>
      <w:spacing w:before="180" w:after="100"/>
      <w:outlineLvl w:val="1"/>
    </w:pPr>
    <w:rPr>
      <w:b/>
      <w:bCs/>
      <w:color w:val="333333"/>
      <w:sz w:val="24"/>
      <w:szCs w:val="24"/>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styleId="Kopfzeile">
    <w:name w:val="header"/>
    <w:basedOn w:val="Standard"/>
    <w:link w:val="KopfzeileZchn"/>
    <w:uiPriority w:val="99"/>
    <w:unhideWhenUsed/>
    <w:rsid w:val="007E0E16"/>
    <w:pPr>
      <w:tabs>
        <w:tab w:val="center" w:pos="4536"/>
        <w:tab w:val="right" w:pos="9072"/>
      </w:tabs>
    </w:pPr>
  </w:style>
  <w:style w:type="character" w:customStyle="1" w:styleId="KopfzeileZchn">
    <w:name w:val="Kopfzeile Zchn"/>
    <w:basedOn w:val="Absatz-Standardschriftart"/>
    <w:link w:val="Kopfzeile"/>
    <w:uiPriority w:val="99"/>
    <w:rsid w:val="007E0E16"/>
  </w:style>
  <w:style w:type="paragraph" w:styleId="Fuzeile">
    <w:name w:val="footer"/>
    <w:basedOn w:val="Standard"/>
    <w:link w:val="FuzeileZchn"/>
    <w:uiPriority w:val="99"/>
    <w:unhideWhenUsed/>
    <w:rsid w:val="007E0E16"/>
    <w:pPr>
      <w:tabs>
        <w:tab w:val="center" w:pos="4536"/>
        <w:tab w:val="right" w:pos="9072"/>
      </w:tabs>
    </w:pPr>
  </w:style>
  <w:style w:type="character" w:customStyle="1" w:styleId="FuzeileZchn">
    <w:name w:val="Fußzeile Zchn"/>
    <w:basedOn w:val="Absatz-Standardschriftart"/>
    <w:link w:val="Fuzeile"/>
    <w:uiPriority w:val="99"/>
    <w:rsid w:val="007E0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1790</Words>
  <Characters>12464</Characters>
  <Application>Microsoft Office Word</Application>
  <DocSecurity>0</DocSecurity>
  <Lines>235</Lines>
  <Paragraphs>135</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14119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Muster-Ausschreibung </dc:title>
  <dc:subject>Unabhängige fachliche Begleitung eines Website-Relaunches </dc:subject>
  <dc:creator>Peter Pröll</dc:creator>
  <cp:keywords/>
  <dc:description/>
  <cp:lastModifiedBy>Peter Pröll</cp:lastModifiedBy>
  <cp:revision>5</cp:revision>
  <dcterms:created xsi:type="dcterms:W3CDTF">2026-07-10T06:32:00Z</dcterms:created>
  <dcterms:modified xsi:type="dcterms:W3CDTF">2026-07-10T09:02:00Z</dcterms:modified>
  <cp:category/>
</cp:coreProperties>
</file>